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C29B" w14:textId="229FC3A4" w:rsidR="00706207" w:rsidRDefault="009952E8" w:rsidP="009952E8">
      <w:pPr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  <w:sz w:val="48"/>
          <w:szCs w:val="48"/>
          <w:lang w:val="en-GB"/>
        </w:rPr>
      </w:pPr>
      <w:r w:rsidRPr="009952E8">
        <w:rPr>
          <w:rFonts w:eastAsia="Times New Roman" w:cs="Arial"/>
          <w:b/>
          <w:bCs/>
          <w:color w:val="000000" w:themeColor="text1"/>
          <w:kern w:val="36"/>
          <w:sz w:val="48"/>
          <w:szCs w:val="48"/>
          <w:lang w:val="en-GB"/>
        </w:rPr>
        <w:t>People Experiencing Gambling Harm</w:t>
      </w:r>
    </w:p>
    <w:p w14:paraId="66213E59" w14:textId="2461B905" w:rsidR="009952E8" w:rsidRPr="009952E8" w:rsidRDefault="009952E8" w:rsidP="009952E8">
      <w:pPr>
        <w:jc w:val="center"/>
        <w:textAlignment w:val="baseline"/>
        <w:outlineLvl w:val="0"/>
        <w:rPr>
          <w:rFonts w:cs="Arial"/>
          <w:b/>
          <w:bCs/>
          <w:color w:val="000000" w:themeColor="text1"/>
          <w:kern w:val="36"/>
          <w:sz w:val="48"/>
          <w:szCs w:val="48"/>
        </w:rPr>
      </w:pPr>
      <w:r>
        <w:rPr>
          <w:rFonts w:eastAsia="Times New Roman" w:cs="Arial"/>
          <w:b/>
          <w:bCs/>
          <w:color w:val="000000" w:themeColor="text1"/>
          <w:kern w:val="36"/>
          <w:sz w:val="48"/>
          <w:szCs w:val="48"/>
        </w:rPr>
        <w:t>Coping Skills Training</w:t>
      </w:r>
    </w:p>
    <w:p w14:paraId="43F342DC" w14:textId="4709AE01" w:rsidR="00706207" w:rsidRDefault="00706207" w:rsidP="00706207">
      <w:pPr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</w:rPr>
      </w:pPr>
    </w:p>
    <w:p w14:paraId="59652950" w14:textId="77777777" w:rsidR="009952E8" w:rsidRPr="00706207" w:rsidRDefault="009952E8" w:rsidP="00706207">
      <w:pPr>
        <w:jc w:val="center"/>
        <w:textAlignment w:val="baseline"/>
        <w:outlineLvl w:val="0"/>
        <w:rPr>
          <w:rFonts w:eastAsia="Times New Roman" w:cs="Arial"/>
          <w:b/>
          <w:bCs/>
          <w:color w:val="000000" w:themeColor="text1"/>
          <w:kern w:val="36"/>
        </w:rPr>
      </w:pPr>
    </w:p>
    <w:p w14:paraId="0D7E5160" w14:textId="67A8D748" w:rsidR="009952E8" w:rsidRDefault="009952E8" w:rsidP="009952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training is</w:t>
      </w:r>
      <w:r>
        <w:rPr>
          <w:rFonts w:ascii="Arial" w:hAnsi="Arial" w:cs="Arial"/>
        </w:rPr>
        <w:t xml:space="preserve"> directed to those who identify as h</w:t>
      </w:r>
      <w:r>
        <w:rPr>
          <w:rFonts w:ascii="Arial" w:hAnsi="Arial" w:cs="Arial"/>
        </w:rPr>
        <w:t xml:space="preserve">aving experienced gambling harm, </w:t>
      </w:r>
      <w:r>
        <w:rPr>
          <w:rFonts w:ascii="Arial" w:hAnsi="Arial" w:cs="Arial"/>
        </w:rPr>
        <w:t xml:space="preserve">are considered appropriate for participation, and wish to have further support in a group setting. This will require a formal assessment and creation of a case file at 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designated service. The group process and anticipated outcomes and any additional treatment components will be discussed at assessment. This will be a ‘closed’ group and the facilitator running the groups will initiate the process by introductions, and agreeing group guidelines e.g. active participation, respect and consideration of other</w:t>
      </w:r>
      <w:r>
        <w:rPr>
          <w:rFonts w:ascii="Arial" w:hAnsi="Arial" w:cs="Arial"/>
        </w:rPr>
        <w:t>s etc. Each week of the Coping S</w:t>
      </w:r>
      <w:r>
        <w:rPr>
          <w:rFonts w:ascii="Arial" w:hAnsi="Arial" w:cs="Arial"/>
        </w:rPr>
        <w:t xml:space="preserve">kills </w:t>
      </w:r>
      <w:r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will have an identified theme and participants are encouraged to attend and complete all six weeks.</w:t>
      </w:r>
    </w:p>
    <w:p w14:paraId="5357D0E7" w14:textId="77777777" w:rsidR="00607F9D" w:rsidRDefault="00607F9D" w:rsidP="009952E8">
      <w:pPr>
        <w:jc w:val="both"/>
        <w:rPr>
          <w:rFonts w:ascii="Arial" w:hAnsi="Arial" w:cs="Arial"/>
        </w:rPr>
      </w:pPr>
    </w:p>
    <w:p w14:paraId="0CF506E5" w14:textId="4BB70362" w:rsidR="009952E8" w:rsidRDefault="009952E8" w:rsidP="009952E8">
      <w:pPr>
        <w:jc w:val="both"/>
        <w:rPr>
          <w:rFonts w:ascii="Arial" w:hAnsi="Arial" w:cs="Arial"/>
          <w:u w:val="single"/>
        </w:rPr>
      </w:pPr>
    </w:p>
    <w:p w14:paraId="7F83543B" w14:textId="7058E725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DC0705"/>
        </w:rPr>
      </w:pPr>
      <w:r w:rsidRPr="00607F9D">
        <w:rPr>
          <w:rFonts w:ascii="Arial" w:hAnsi="Arial" w:cs="Arial"/>
          <w:b/>
          <w:color w:val="DC0705"/>
        </w:rPr>
        <w:t>Week One: Assertiveness and communication</w:t>
      </w:r>
    </w:p>
    <w:p w14:paraId="6C4366CC" w14:textId="77777777" w:rsidR="009952E8" w:rsidRDefault="009952E8" w:rsidP="00607F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 w:rsidRPr="00F147AF">
        <w:rPr>
          <w:rFonts w:ascii="Arial" w:hAnsi="Arial" w:cs="Arial"/>
        </w:rPr>
        <w:t>Establish group norms and process</w:t>
      </w:r>
    </w:p>
    <w:p w14:paraId="70CB9A9D" w14:textId="77777777" w:rsidR="009952E8" w:rsidRDefault="009952E8" w:rsidP="00607F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Active listening skills</w:t>
      </w:r>
    </w:p>
    <w:p w14:paraId="4DF778A3" w14:textId="77777777" w:rsidR="009952E8" w:rsidRDefault="009952E8" w:rsidP="00607F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Constructive communication and giving feedback</w:t>
      </w:r>
    </w:p>
    <w:p w14:paraId="29DBEBF1" w14:textId="77777777" w:rsidR="009952E8" w:rsidRDefault="009952E8" w:rsidP="00607F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Learning to say “no”</w:t>
      </w:r>
    </w:p>
    <w:p w14:paraId="74F75783" w14:textId="7CB9A1F4" w:rsidR="009952E8" w:rsidRDefault="00607F9D" w:rsidP="00607F9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Practice (role plays</w:t>
      </w:r>
    </w:p>
    <w:p w14:paraId="4FE52A0F" w14:textId="77777777" w:rsidR="009952E8" w:rsidRDefault="009952E8" w:rsidP="00607F9D">
      <w:pPr>
        <w:spacing w:after="120"/>
        <w:jc w:val="both"/>
        <w:rPr>
          <w:rFonts w:ascii="Arial" w:hAnsi="Arial" w:cs="Arial"/>
        </w:rPr>
      </w:pPr>
    </w:p>
    <w:p w14:paraId="70679E76" w14:textId="5FB78DE6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DC0705"/>
        </w:rPr>
      </w:pPr>
      <w:r w:rsidRPr="00607F9D">
        <w:rPr>
          <w:rFonts w:ascii="Arial" w:hAnsi="Arial" w:cs="Arial"/>
          <w:b/>
          <w:color w:val="DC0705"/>
        </w:rPr>
        <w:t>Week Two: CBT/Management of feelings</w:t>
      </w:r>
    </w:p>
    <w:p w14:paraId="52371AC3" w14:textId="77777777" w:rsidR="009952E8" w:rsidRDefault="009952E8" w:rsidP="00607F9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Differentiating feelings from actions/</w:t>
      </w:r>
      <w:proofErr w:type="spellStart"/>
      <w:r>
        <w:rPr>
          <w:rFonts w:ascii="Arial" w:hAnsi="Arial" w:cs="Arial"/>
        </w:rPr>
        <w:t>behaviour</w:t>
      </w:r>
      <w:proofErr w:type="spellEnd"/>
    </w:p>
    <w:p w14:paraId="270A9B75" w14:textId="77777777" w:rsidR="009952E8" w:rsidRDefault="009952E8" w:rsidP="00607F9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Difference between being assertive and aggressive</w:t>
      </w:r>
    </w:p>
    <w:p w14:paraId="5CFAB191" w14:textId="77777777" w:rsidR="009952E8" w:rsidRDefault="009952E8" w:rsidP="00607F9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Resolving conflict respectfully</w:t>
      </w:r>
    </w:p>
    <w:p w14:paraId="187AEE41" w14:textId="77777777" w:rsidR="009952E8" w:rsidRDefault="009952E8" w:rsidP="00607F9D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Reframing Practice (role plays)</w:t>
      </w:r>
    </w:p>
    <w:p w14:paraId="3F1300A4" w14:textId="77777777" w:rsidR="009952E8" w:rsidRDefault="009952E8" w:rsidP="00607F9D">
      <w:pPr>
        <w:spacing w:after="120"/>
        <w:jc w:val="both"/>
        <w:rPr>
          <w:rFonts w:ascii="Arial" w:hAnsi="Arial" w:cs="Arial"/>
        </w:rPr>
      </w:pPr>
    </w:p>
    <w:p w14:paraId="113C05A7" w14:textId="5FF625F0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DC0705"/>
        </w:rPr>
      </w:pPr>
      <w:r w:rsidRPr="00607F9D">
        <w:rPr>
          <w:rFonts w:ascii="Arial" w:hAnsi="Arial" w:cs="Arial"/>
          <w:b/>
          <w:color w:val="DC0705"/>
        </w:rPr>
        <w:t>Week three: Grief and change</w:t>
      </w:r>
    </w:p>
    <w:p w14:paraId="46B18C31" w14:textId="77777777" w:rsidR="009952E8" w:rsidRDefault="009952E8" w:rsidP="00607F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Experiencing grief</w:t>
      </w:r>
    </w:p>
    <w:p w14:paraId="245C1A4E" w14:textId="77777777" w:rsidR="009952E8" w:rsidRDefault="009952E8" w:rsidP="00607F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Impacts of loss of an addiction: gambling/alcohol/drugs</w:t>
      </w:r>
    </w:p>
    <w:p w14:paraId="7C69E864" w14:textId="77777777" w:rsidR="009952E8" w:rsidRDefault="009952E8" w:rsidP="00607F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Childhood and adult trauma and addictions</w:t>
      </w:r>
    </w:p>
    <w:p w14:paraId="06053E2A" w14:textId="77777777" w:rsidR="009952E8" w:rsidRDefault="009952E8" w:rsidP="00607F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Depression and anxiety</w:t>
      </w:r>
    </w:p>
    <w:p w14:paraId="122E9239" w14:textId="77777777" w:rsidR="009952E8" w:rsidRDefault="009952E8" w:rsidP="00607F9D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Motivation for change</w:t>
      </w:r>
      <w:bookmarkStart w:id="0" w:name="_GoBack"/>
      <w:bookmarkEnd w:id="0"/>
    </w:p>
    <w:p w14:paraId="1FAC5AB1" w14:textId="77777777" w:rsidR="009952E8" w:rsidRDefault="009952E8" w:rsidP="00607F9D">
      <w:pPr>
        <w:spacing w:after="120"/>
        <w:jc w:val="both"/>
        <w:rPr>
          <w:rFonts w:ascii="Arial" w:hAnsi="Arial" w:cs="Arial"/>
        </w:rPr>
      </w:pPr>
    </w:p>
    <w:p w14:paraId="6EA14396" w14:textId="77777777" w:rsidR="00607F9D" w:rsidRDefault="00607F9D">
      <w:pPr>
        <w:rPr>
          <w:rFonts w:ascii="Arial" w:hAnsi="Arial" w:cs="Arial"/>
          <w:b/>
          <w:color w:val="DC0705"/>
        </w:rPr>
      </w:pPr>
      <w:r>
        <w:rPr>
          <w:rFonts w:ascii="Arial" w:hAnsi="Arial" w:cs="Arial"/>
          <w:b/>
          <w:color w:val="DC0705"/>
        </w:rPr>
        <w:br w:type="page"/>
      </w:r>
    </w:p>
    <w:p w14:paraId="116517C6" w14:textId="691BE807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FF0000"/>
        </w:rPr>
      </w:pPr>
      <w:r w:rsidRPr="00607F9D">
        <w:rPr>
          <w:rFonts w:ascii="Arial" w:hAnsi="Arial" w:cs="Arial"/>
          <w:b/>
          <w:color w:val="DC0705"/>
        </w:rPr>
        <w:lastRenderedPageBreak/>
        <w:t>Week Four: Budgeting/Lifestyle/Legal</w:t>
      </w:r>
    </w:p>
    <w:p w14:paraId="6E4DBE99" w14:textId="77777777" w:rsidR="009952E8" w:rsidRDefault="009952E8" w:rsidP="00607F9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Budgeting as awareness and relapse prevention</w:t>
      </w:r>
    </w:p>
    <w:p w14:paraId="3795F236" w14:textId="77777777" w:rsidR="009952E8" w:rsidRDefault="009952E8" w:rsidP="00607F9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Recognising</w:t>
      </w:r>
      <w:proofErr w:type="spellEnd"/>
      <w:r>
        <w:rPr>
          <w:rFonts w:ascii="Arial" w:hAnsi="Arial" w:cs="Arial"/>
        </w:rPr>
        <w:t xml:space="preserve"> impact of addictions on others</w:t>
      </w:r>
    </w:p>
    <w:p w14:paraId="0E79DA8F" w14:textId="77777777" w:rsidR="009952E8" w:rsidRDefault="009952E8" w:rsidP="00607F9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Relationship impacts</w:t>
      </w:r>
    </w:p>
    <w:p w14:paraId="73C26ABA" w14:textId="77777777" w:rsidR="009952E8" w:rsidRDefault="009952E8" w:rsidP="00607F9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Lifestyle balance and mental/physical health</w:t>
      </w:r>
    </w:p>
    <w:p w14:paraId="0485460E" w14:textId="77777777" w:rsidR="009952E8" w:rsidRDefault="009952E8" w:rsidP="00607F9D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Legal issues</w:t>
      </w:r>
    </w:p>
    <w:p w14:paraId="07DD2A88" w14:textId="77777777" w:rsidR="009952E8" w:rsidRDefault="009952E8" w:rsidP="00607F9D">
      <w:pPr>
        <w:pStyle w:val="ListParagraph"/>
        <w:spacing w:after="120"/>
        <w:contextualSpacing w:val="0"/>
        <w:jc w:val="both"/>
        <w:rPr>
          <w:rFonts w:ascii="Arial" w:hAnsi="Arial" w:cs="Arial"/>
        </w:rPr>
      </w:pPr>
    </w:p>
    <w:p w14:paraId="29575356" w14:textId="66CE7D17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DC0705"/>
        </w:rPr>
      </w:pPr>
      <w:r w:rsidRPr="00607F9D">
        <w:rPr>
          <w:rFonts w:ascii="Arial" w:hAnsi="Arial" w:cs="Arial"/>
          <w:b/>
          <w:color w:val="DC0705"/>
        </w:rPr>
        <w:t>Week Five: Relaxation and leisure</w:t>
      </w:r>
    </w:p>
    <w:p w14:paraId="1624D506" w14:textId="77777777" w:rsidR="009952E8" w:rsidRDefault="009952E8" w:rsidP="00607F9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Finding viable alternatives for time</w:t>
      </w:r>
    </w:p>
    <w:p w14:paraId="1E0D054C" w14:textId="77777777" w:rsidR="009952E8" w:rsidRDefault="009952E8" w:rsidP="00607F9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Controlling and dealing with stress</w:t>
      </w:r>
    </w:p>
    <w:p w14:paraId="7490FE56" w14:textId="77777777" w:rsidR="009952E8" w:rsidRDefault="009952E8" w:rsidP="00607F9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Breathing and relaxation techniques</w:t>
      </w:r>
    </w:p>
    <w:p w14:paraId="797A1F40" w14:textId="77777777" w:rsidR="009952E8" w:rsidRDefault="009952E8" w:rsidP="00607F9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Sleep</w:t>
      </w:r>
    </w:p>
    <w:p w14:paraId="5D0DDDBF" w14:textId="77777777" w:rsidR="009952E8" w:rsidRDefault="009952E8" w:rsidP="00607F9D">
      <w:pPr>
        <w:pStyle w:val="ListParagraph"/>
        <w:numPr>
          <w:ilvl w:val="0"/>
          <w:numId w:val="5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Resources for ongoing support</w:t>
      </w:r>
    </w:p>
    <w:p w14:paraId="7800E032" w14:textId="77777777" w:rsidR="009952E8" w:rsidRDefault="009952E8" w:rsidP="00607F9D">
      <w:pPr>
        <w:spacing w:after="120"/>
        <w:jc w:val="both"/>
        <w:rPr>
          <w:rFonts w:ascii="Arial" w:hAnsi="Arial" w:cs="Arial"/>
        </w:rPr>
      </w:pPr>
    </w:p>
    <w:p w14:paraId="771D52D3" w14:textId="49B3C532" w:rsidR="009952E8" w:rsidRPr="00607F9D" w:rsidRDefault="009952E8" w:rsidP="00607F9D">
      <w:pPr>
        <w:spacing w:after="120"/>
        <w:jc w:val="both"/>
        <w:rPr>
          <w:rFonts w:ascii="Arial" w:hAnsi="Arial" w:cs="Arial"/>
          <w:b/>
          <w:color w:val="DC0705"/>
        </w:rPr>
      </w:pPr>
      <w:r w:rsidRPr="00607F9D">
        <w:rPr>
          <w:rFonts w:ascii="Arial" w:hAnsi="Arial" w:cs="Arial"/>
          <w:b/>
          <w:color w:val="DC0705"/>
        </w:rPr>
        <w:t>Week Six: Relapse prevention</w:t>
      </w:r>
    </w:p>
    <w:p w14:paraId="3AFF6795" w14:textId="18EED0CF" w:rsidR="009952E8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Understanding the role of ‘complementary </w:t>
      </w:r>
      <w:proofErr w:type="spellStart"/>
      <w:r>
        <w:rPr>
          <w:rFonts w:ascii="Arial" w:hAnsi="Arial" w:cs="Arial"/>
        </w:rPr>
        <w:t>behaviours’</w:t>
      </w:r>
      <w:proofErr w:type="spellEnd"/>
      <w:r>
        <w:rPr>
          <w:rFonts w:ascii="Arial" w:hAnsi="Arial" w:cs="Arial"/>
        </w:rPr>
        <w:t xml:space="preserve"> e.g. gambling and alcohol etc</w:t>
      </w:r>
      <w:r>
        <w:rPr>
          <w:rFonts w:ascii="Arial" w:hAnsi="Arial" w:cs="Arial"/>
        </w:rPr>
        <w:t>.</w:t>
      </w:r>
    </w:p>
    <w:p w14:paraId="73358D93" w14:textId="77777777" w:rsidR="009952E8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Cues, triggers and ‘early warning signs’</w:t>
      </w:r>
    </w:p>
    <w:p w14:paraId="6885476C" w14:textId="77777777" w:rsidR="009952E8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Developing a personal relapse prevention plan</w:t>
      </w:r>
    </w:p>
    <w:p w14:paraId="5C11E05C" w14:textId="77777777" w:rsidR="009952E8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34D9195E" w14:textId="77777777" w:rsidR="009952E8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help and resources</w:t>
      </w:r>
    </w:p>
    <w:p w14:paraId="07AEECDD" w14:textId="77777777" w:rsidR="009952E8" w:rsidRPr="000578E3" w:rsidRDefault="009952E8" w:rsidP="00607F9D">
      <w:pPr>
        <w:pStyle w:val="ListParagraph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Where to from here?</w:t>
      </w:r>
    </w:p>
    <w:p w14:paraId="2C57EFDC" w14:textId="3FECFF5D" w:rsidR="00706207" w:rsidRPr="00706207" w:rsidRDefault="00706207" w:rsidP="00706207">
      <w:r w:rsidRPr="004019BE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20D7638" wp14:editId="1277D011">
                <wp:simplePos x="0" y="0"/>
                <wp:positionH relativeFrom="column">
                  <wp:posOffset>-139700</wp:posOffset>
                </wp:positionH>
                <wp:positionV relativeFrom="page">
                  <wp:posOffset>9544685</wp:posOffset>
                </wp:positionV>
                <wp:extent cx="6619875" cy="4521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19875" cy="45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35295" w14:textId="77777777" w:rsidR="00706207" w:rsidRDefault="00706207" w:rsidP="00706207">
                            <w:pPr>
                              <w:spacing w:line="336" w:lineRule="auto"/>
                              <w:ind w:left="284" w:right="47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B3F4D">
                              <w:rPr>
                                <w:rFonts w:ascii="Arial" w:hAnsi="Arial" w:cs="Arial"/>
                                <w:b/>
                                <w:color w:val="FF6600"/>
                                <w:sz w:val="20"/>
                              </w:rPr>
                              <w:t>ABACUS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7E5FB7">
                              <w:rPr>
                                <w:rFonts w:ascii="Arial" w:hAnsi="Arial" w:cs="Arial"/>
                                <w:sz w:val="20"/>
                              </w:rPr>
                              <w:t>Counselling Training &amp; Supervision Ltd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FA4784"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</w:rPr>
                              <w:t xml:space="preserve">NZQA </w:t>
                            </w:r>
                            <w:proofErr w:type="spellStart"/>
                            <w:r w:rsidRPr="00FA4784"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|  </w:t>
                            </w:r>
                            <w:r w:rsidRPr="009E40F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09 360 6957 </w:t>
                            </w:r>
                          </w:p>
                          <w:p w14:paraId="3774036F" w14:textId="0EC84880" w:rsidR="00706207" w:rsidRPr="007E5FB7" w:rsidRDefault="00706207" w:rsidP="00706207">
                            <w:pPr>
                              <w:spacing w:line="336" w:lineRule="auto"/>
                              <w:ind w:left="284" w:right="47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E40F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1D63A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office@acts.co.nz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9E40F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32167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www.acts.co.nz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|  </w:t>
                            </w:r>
                            <w:r w:rsidRPr="009E40F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PO Box 90710 Victoria Street West, Auckland 1142</w:t>
                            </w:r>
                          </w:p>
                          <w:p w14:paraId="78B482FA" w14:textId="77777777" w:rsidR="00706207" w:rsidRDefault="00706207" w:rsidP="00706207">
                            <w:pPr>
                              <w:spacing w:line="336" w:lineRule="auto"/>
                            </w:pPr>
                          </w:p>
                          <w:p w14:paraId="40119FDD" w14:textId="77777777" w:rsidR="00706207" w:rsidRDefault="00706207" w:rsidP="00706207"/>
                        </w:txbxContent>
                      </wps:txbx>
                      <wps:bodyPr rot="0" vert="horz" wrap="square" lIns="18000" tIns="54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D7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pt;margin-top:751.55pt;width:521.25pt;height:3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" filled="f" strokecolor="#f60">
                <v:path arrowok="t"/>
                <v:textbox inset=".5mm,1.5mm,.5mm,.5mm">
                  <w:txbxContent>
                    <w:p w14:paraId="61B35295" w14:textId="77777777" w:rsidR="00706207" w:rsidRDefault="00706207" w:rsidP="00706207">
                      <w:pPr>
                        <w:spacing w:line="336" w:lineRule="auto"/>
                        <w:ind w:left="284" w:right="47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B3F4D">
                        <w:rPr>
                          <w:rFonts w:ascii="Arial" w:hAnsi="Arial" w:cs="Arial"/>
                          <w:b/>
                          <w:color w:val="FF6600"/>
                          <w:sz w:val="20"/>
                        </w:rPr>
                        <w:t>ABACUS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7E5FB7">
                        <w:rPr>
                          <w:rFonts w:ascii="Arial" w:hAnsi="Arial" w:cs="Arial"/>
                          <w:sz w:val="20"/>
                        </w:rPr>
                        <w:t>Counselling Training &amp; Supervision Ltd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r w:rsidRPr="00FA4784">
                        <w:rPr>
                          <w:rFonts w:ascii="Arial" w:hAnsi="Arial" w:cs="Arial"/>
                          <w:b/>
                          <w:color w:val="595959"/>
                          <w:sz w:val="20"/>
                        </w:rPr>
                        <w:t xml:space="preserve">NZQA </w:t>
                      </w:r>
                      <w:proofErr w:type="spellStart"/>
                      <w:r w:rsidRPr="00FA4784">
                        <w:rPr>
                          <w:rFonts w:ascii="Arial" w:hAnsi="Arial" w:cs="Arial"/>
                          <w:b/>
                          <w:color w:val="595959"/>
                          <w:sz w:val="20"/>
                        </w:rPr>
                        <w:t>reg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|  </w:t>
                      </w:r>
                      <w:r w:rsidRPr="009E40FF">
                        <w:rPr>
                          <w:rFonts w:ascii="Arial" w:hAnsi="Arial" w:cs="Arial"/>
                          <w:b/>
                          <w:sz w:val="2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09 360 6957 </w:t>
                      </w:r>
                    </w:p>
                    <w:p w14:paraId="3774036F" w14:textId="0EC84880" w:rsidR="00706207" w:rsidRPr="007E5FB7" w:rsidRDefault="00706207" w:rsidP="00706207">
                      <w:pPr>
                        <w:spacing w:line="336" w:lineRule="auto"/>
                        <w:ind w:left="284" w:right="474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E40FF">
                        <w:rPr>
                          <w:rFonts w:ascii="Arial" w:hAnsi="Arial" w:cs="Arial"/>
                          <w:b/>
                          <w:sz w:val="20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9" w:history="1">
                        <w:r w:rsidR="001D63A2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office@acts.co.nz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9E40FF">
                        <w:rPr>
                          <w:rFonts w:ascii="Arial" w:hAnsi="Arial" w:cs="Arial"/>
                          <w:b/>
                          <w:sz w:val="20"/>
                        </w:rPr>
                        <w:t>Web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10" w:history="1">
                        <w:r w:rsidRPr="00321670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www.acts.co.nz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|  </w:t>
                      </w:r>
                      <w:r w:rsidRPr="009E40FF">
                        <w:rPr>
                          <w:rFonts w:ascii="Arial" w:hAnsi="Arial" w:cs="Arial"/>
                          <w:b/>
                          <w:sz w:val="20"/>
                        </w:rPr>
                        <w:t>Mail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PO Box 90710 Victoria Street West, Auckland 1142</w:t>
                      </w:r>
                    </w:p>
                    <w:p w14:paraId="78B482FA" w14:textId="77777777" w:rsidR="00706207" w:rsidRDefault="00706207" w:rsidP="00706207">
                      <w:pPr>
                        <w:spacing w:line="336" w:lineRule="auto"/>
                      </w:pPr>
                    </w:p>
                    <w:p w14:paraId="40119FDD" w14:textId="77777777" w:rsidR="00706207" w:rsidRDefault="00706207" w:rsidP="00706207"/>
                  </w:txbxContent>
                </v:textbox>
                <w10:wrap type="tight" anchory="page"/>
                <w10:anchorlock/>
              </v:shape>
            </w:pict>
          </mc:Fallback>
        </mc:AlternateContent>
      </w:r>
    </w:p>
    <w:sectPr w:rsidR="00706207" w:rsidRPr="00706207" w:rsidSect="001D63A2">
      <w:footerReference w:type="even" r:id="rId11"/>
      <w:footerReference w:type="default" r:id="rId12"/>
      <w:pgSz w:w="11900" w:h="16840"/>
      <w:pgMar w:top="85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F0D78" w14:textId="77777777" w:rsidR="006D1C02" w:rsidRDefault="006D1C02" w:rsidP="001D63A2">
      <w:r>
        <w:separator/>
      </w:r>
    </w:p>
  </w:endnote>
  <w:endnote w:type="continuationSeparator" w:id="0">
    <w:p w14:paraId="41D35ACF" w14:textId="77777777" w:rsidR="006D1C02" w:rsidRDefault="006D1C02" w:rsidP="001D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90009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07218D" w14:textId="29C224F4" w:rsidR="001D63A2" w:rsidRDefault="001D63A2" w:rsidP="00010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378F41" w14:textId="77777777" w:rsidR="001D63A2" w:rsidRDefault="001D63A2" w:rsidP="001D6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23048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E0A075" w14:textId="01955191" w:rsidR="001D63A2" w:rsidRDefault="001D63A2" w:rsidP="00010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565BC1" w14:textId="6B5BE877" w:rsidR="002267C5" w:rsidRDefault="001D63A2" w:rsidP="002267C5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46293" wp14:editId="7892898B">
              <wp:simplePos x="0" y="0"/>
              <wp:positionH relativeFrom="column">
                <wp:posOffset>-140335</wp:posOffset>
              </wp:positionH>
              <wp:positionV relativeFrom="paragraph">
                <wp:posOffset>-25400</wp:posOffset>
              </wp:positionV>
              <wp:extent cx="6616700" cy="0"/>
              <wp:effectExtent l="0" t="0" r="1270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40DFA9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-2pt" to="509.95pt,-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" strokecolor="black [3213]" strokeweight=".5pt">
              <v:stroke joinstyle="miter"/>
            </v:line>
          </w:pict>
        </mc:Fallback>
      </mc:AlternateContent>
    </w:r>
    <w:r w:rsidR="002267C5">
      <w:t xml:space="preserve">Resource: </w:t>
    </w:r>
    <w:r w:rsidRPr="001D63A2">
      <w:t>C</w:t>
    </w:r>
    <w:r w:rsidR="002267C5">
      <w:t xml:space="preserve">oping Skills </w:t>
    </w:r>
    <w:r w:rsidR="00AE10F6">
      <w:t xml:space="preserve">– </w:t>
    </w:r>
    <w:r w:rsidRPr="001D63A2">
      <w:t>People Experiencing Gambling Harm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B3EE" w14:textId="77777777" w:rsidR="006D1C02" w:rsidRDefault="006D1C02" w:rsidP="001D63A2">
      <w:r>
        <w:separator/>
      </w:r>
    </w:p>
  </w:footnote>
  <w:footnote w:type="continuationSeparator" w:id="0">
    <w:p w14:paraId="194BB864" w14:textId="77777777" w:rsidR="006D1C02" w:rsidRDefault="006D1C02" w:rsidP="001D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83D"/>
    <w:multiLevelType w:val="hybridMultilevel"/>
    <w:tmpl w:val="735E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6F72"/>
    <w:multiLevelType w:val="hybridMultilevel"/>
    <w:tmpl w:val="9C08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375BD"/>
    <w:multiLevelType w:val="hybridMultilevel"/>
    <w:tmpl w:val="5B14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C0612"/>
    <w:multiLevelType w:val="hybridMultilevel"/>
    <w:tmpl w:val="281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57812"/>
    <w:multiLevelType w:val="hybridMultilevel"/>
    <w:tmpl w:val="3EC8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F4B3B"/>
    <w:multiLevelType w:val="hybridMultilevel"/>
    <w:tmpl w:val="C61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07"/>
    <w:rsid w:val="001D63A2"/>
    <w:rsid w:val="002267C5"/>
    <w:rsid w:val="00246052"/>
    <w:rsid w:val="003010B9"/>
    <w:rsid w:val="00443BE2"/>
    <w:rsid w:val="005C75D5"/>
    <w:rsid w:val="00607F9D"/>
    <w:rsid w:val="006D1C02"/>
    <w:rsid w:val="00706207"/>
    <w:rsid w:val="009952E8"/>
    <w:rsid w:val="00AE10F6"/>
    <w:rsid w:val="00D52A48"/>
    <w:rsid w:val="00E0487E"/>
    <w:rsid w:val="00E60E01"/>
    <w:rsid w:val="00E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3780"/>
  <w15:chartTrackingRefBased/>
  <w15:docId w15:val="{BF1280A7-415F-054A-8D65-CF58638E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2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62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20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6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A2"/>
  </w:style>
  <w:style w:type="paragraph" w:styleId="Footer">
    <w:name w:val="footer"/>
    <w:basedOn w:val="Normal"/>
    <w:link w:val="FooterChar"/>
    <w:uiPriority w:val="99"/>
    <w:unhideWhenUsed/>
    <w:rsid w:val="001D6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A2"/>
  </w:style>
  <w:style w:type="character" w:styleId="PageNumber">
    <w:name w:val="page number"/>
    <w:basedOn w:val="DefaultParagraphFont"/>
    <w:uiPriority w:val="99"/>
    <w:semiHidden/>
    <w:unhideWhenUsed/>
    <w:rsid w:val="001D63A2"/>
  </w:style>
  <w:style w:type="paragraph" w:styleId="NormalWeb">
    <w:name w:val="Normal (Web)"/>
    <w:basedOn w:val="Normal"/>
    <w:uiPriority w:val="99"/>
    <w:semiHidden/>
    <w:unhideWhenUsed/>
    <w:rsid w:val="00995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52E8"/>
    <w:pPr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.co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acts.co.n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cts.co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cts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1685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2018-07-16T04:11:00Z</dcterms:created>
  <dcterms:modified xsi:type="dcterms:W3CDTF">2018-07-16T04:11:00Z</dcterms:modified>
</cp:coreProperties>
</file>